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1691" w14:textId="77777777" w:rsidR="00000000" w:rsidRDefault="00B9540E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3694979C" w14:textId="77777777" w:rsidR="00000000" w:rsidRDefault="00B954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7D891AD4" w14:textId="77777777" w:rsidR="00000000" w:rsidRDefault="00B9540E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0FD72B15" w14:textId="77777777" w:rsidR="00000000" w:rsidRDefault="00B9540E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4C9C860A" w14:textId="77777777" w:rsidR="00000000" w:rsidRDefault="00B9540E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Paul Niekamp</w:t>
      </w:r>
    </w:p>
    <w:p w14:paraId="2BCF1D6D" w14:textId="77777777" w:rsidR="00000000" w:rsidRDefault="00B9540E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Assistant Professor</w:t>
      </w:r>
    </w:p>
    <w:p w14:paraId="43A8B8BD" w14:textId="77777777" w:rsidR="00000000" w:rsidRDefault="00B9540E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3AC3F1D8" w14:textId="77777777" w:rsidR="00000000" w:rsidRDefault="00B9540E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0A21B461" w14:textId="77777777" w:rsidR="00000000" w:rsidRDefault="00B9540E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received a Ph.D. in 2019 and had at least 2 peer-reviewed journal publications and at least 5 additional professional engagement activities in last 5 years..</w:t>
      </w:r>
    </w:p>
    <w:p w14:paraId="4A119699" w14:textId="77777777" w:rsidR="00000000" w:rsidRDefault="00B9540E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WB</w:t>
      </w:r>
    </w:p>
    <w:p w14:paraId="1FCB4F9D" w14:textId="77777777" w:rsidR="00000000" w:rsidRDefault="00B9540E">
      <w:pPr>
        <w:spacing w:line="276" w:lineRule="auto"/>
      </w:pPr>
      <w:r>
        <w:rPr>
          <w:b/>
          <w:bCs/>
          <w:i/>
          <w:iCs/>
        </w:rPr>
        <w:t>Area of Academic Disci</w:t>
      </w:r>
      <w:r>
        <w:rPr>
          <w:b/>
          <w:bCs/>
          <w:i/>
          <w:iCs/>
        </w:rPr>
        <w:t>pline Specialization:</w:t>
      </w:r>
      <w:r>
        <w:t xml:space="preserve"> Economics</w:t>
      </w:r>
    </w:p>
    <w:p w14:paraId="55BA0051" w14:textId="77777777" w:rsidR="00000000" w:rsidRDefault="00B9540E">
      <w:pPr>
        <w:spacing w:line="276" w:lineRule="auto"/>
      </w:pPr>
    </w:p>
    <w:p w14:paraId="5BAB0BCD" w14:textId="77777777" w:rsidR="00000000" w:rsidRDefault="00B9540E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4BF09249" w14:textId="77777777" w:rsidR="00000000" w:rsidRDefault="00B9540E">
      <w:pPr>
        <w:spacing w:line="276" w:lineRule="auto"/>
        <w:ind w:left="720"/>
        <w:rPr>
          <w:u w:val="single"/>
        </w:rPr>
      </w:pPr>
    </w:p>
    <w:p w14:paraId="6728DA0D" w14:textId="77777777" w:rsidR="00000000" w:rsidRDefault="00B9540E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25421544" w14:textId="77777777" w:rsidR="00000000" w:rsidRDefault="00B9540E">
      <w:pPr>
        <w:spacing w:line="276" w:lineRule="auto"/>
        <w:ind w:left="1440"/>
      </w:pPr>
      <w:r>
        <w:t>Name of Degree: Ph.D.</w:t>
      </w:r>
    </w:p>
    <w:p w14:paraId="7336A4CC" w14:textId="77777777" w:rsidR="00000000" w:rsidRDefault="00B9540E">
      <w:pPr>
        <w:ind w:left="1440"/>
      </w:pPr>
      <w:r>
        <w:t>Year Conferred: 2019</w:t>
      </w:r>
    </w:p>
    <w:p w14:paraId="125D10CF" w14:textId="77777777" w:rsidR="00000000" w:rsidRDefault="00B9540E">
      <w:pPr>
        <w:tabs>
          <w:tab w:val="right" w:pos="9360"/>
        </w:tabs>
        <w:ind w:left="1440"/>
      </w:pPr>
      <w:r>
        <w:t>Degree-Granting Institution: Vanderbilt University</w:t>
      </w:r>
    </w:p>
    <w:p w14:paraId="175AA1DB" w14:textId="77777777" w:rsidR="00000000" w:rsidRDefault="00B9540E">
      <w:pPr>
        <w:ind w:left="1440"/>
      </w:pPr>
      <w:r>
        <w:t xml:space="preserve">Principal Academic Units: </w:t>
      </w:r>
    </w:p>
    <w:p w14:paraId="0AFFFB12" w14:textId="77777777" w:rsidR="00000000" w:rsidRDefault="00B9540E">
      <w:pPr>
        <w:ind w:left="1440"/>
      </w:pPr>
      <w:r>
        <w:t>Major Fields of Study: Economics</w:t>
      </w:r>
    </w:p>
    <w:p w14:paraId="194F90F9" w14:textId="77777777" w:rsidR="00000000" w:rsidRDefault="00B9540E">
      <w:pPr>
        <w:ind w:left="1440"/>
      </w:pPr>
      <w:r>
        <w:t xml:space="preserve">Minor Field of Study:  </w:t>
      </w:r>
    </w:p>
    <w:p w14:paraId="1C79531C" w14:textId="77777777" w:rsidR="00000000" w:rsidRDefault="00B9540E">
      <w:pPr>
        <w:spacing w:line="276" w:lineRule="auto"/>
        <w:ind w:left="1440"/>
      </w:pPr>
      <w:r>
        <w:t>Dissertation Title: Ap</w:t>
      </w:r>
      <w:r>
        <w:t>plied Microeconomic Issues for Rural America</w:t>
      </w:r>
    </w:p>
    <w:p w14:paraId="75762AEA" w14:textId="77777777" w:rsidR="00000000" w:rsidRDefault="00B9540E">
      <w:pPr>
        <w:spacing w:line="276" w:lineRule="auto"/>
        <w:ind w:left="720"/>
        <w:rPr>
          <w:u w:val="single"/>
        </w:rPr>
      </w:pPr>
    </w:p>
    <w:p w14:paraId="515959BA" w14:textId="77777777" w:rsidR="00000000" w:rsidRDefault="00B9540E">
      <w:pPr>
        <w:spacing w:line="276" w:lineRule="auto"/>
        <w:ind w:left="720"/>
        <w:rPr>
          <w:u w:val="single"/>
        </w:rPr>
      </w:pPr>
      <w:r>
        <w:rPr>
          <w:u w:val="single"/>
        </w:rPr>
        <w:t>M.A. Degree:</w:t>
      </w:r>
    </w:p>
    <w:p w14:paraId="6BD4252F" w14:textId="77777777" w:rsidR="00000000" w:rsidRDefault="00B9540E">
      <w:pPr>
        <w:spacing w:line="276" w:lineRule="auto"/>
        <w:ind w:left="1440"/>
      </w:pPr>
      <w:r>
        <w:t>Name of Degree: M.A.</w:t>
      </w:r>
    </w:p>
    <w:p w14:paraId="44A37C80" w14:textId="77777777" w:rsidR="00000000" w:rsidRDefault="00B9540E">
      <w:pPr>
        <w:ind w:left="1440"/>
      </w:pPr>
      <w:r>
        <w:t>Year Conferred: 2016</w:t>
      </w:r>
    </w:p>
    <w:p w14:paraId="4EEC213A" w14:textId="77777777" w:rsidR="00000000" w:rsidRDefault="00B9540E">
      <w:pPr>
        <w:tabs>
          <w:tab w:val="right" w:pos="9360"/>
        </w:tabs>
        <w:ind w:left="1440"/>
      </w:pPr>
      <w:r>
        <w:t>Degree-Granting Institution: Vanderbilt University</w:t>
      </w:r>
    </w:p>
    <w:p w14:paraId="53C38908" w14:textId="77777777" w:rsidR="00000000" w:rsidRDefault="00B9540E">
      <w:pPr>
        <w:ind w:left="1440"/>
      </w:pPr>
      <w:r>
        <w:t xml:space="preserve">Principal Academic Units: </w:t>
      </w:r>
    </w:p>
    <w:p w14:paraId="0F6CE561" w14:textId="77777777" w:rsidR="00000000" w:rsidRDefault="00B9540E">
      <w:pPr>
        <w:ind w:left="1440"/>
      </w:pPr>
      <w:r>
        <w:t>Major Fields of Study: Economics</w:t>
      </w:r>
    </w:p>
    <w:p w14:paraId="5FA87C2C" w14:textId="77777777" w:rsidR="00000000" w:rsidRDefault="00B9540E">
      <w:pPr>
        <w:ind w:left="1440"/>
      </w:pPr>
      <w:r>
        <w:t xml:space="preserve">Minor Field of Study:  </w:t>
      </w:r>
    </w:p>
    <w:p w14:paraId="5DB09E31" w14:textId="77777777" w:rsidR="00000000" w:rsidRDefault="00B9540E">
      <w:pPr>
        <w:spacing w:line="276" w:lineRule="auto"/>
        <w:ind w:left="1440"/>
      </w:pPr>
      <w:r>
        <w:t xml:space="preserve">Dissertation Title: </w:t>
      </w:r>
    </w:p>
    <w:p w14:paraId="5BB1A174" w14:textId="77777777" w:rsidR="00000000" w:rsidRDefault="00B9540E">
      <w:pPr>
        <w:spacing w:line="276" w:lineRule="auto"/>
        <w:ind w:left="720"/>
        <w:rPr>
          <w:u w:val="single"/>
        </w:rPr>
      </w:pPr>
    </w:p>
    <w:p w14:paraId="488BCF4F" w14:textId="77777777" w:rsidR="00000000" w:rsidRDefault="00B9540E">
      <w:pPr>
        <w:spacing w:line="276" w:lineRule="auto"/>
        <w:ind w:left="720"/>
        <w:rPr>
          <w:u w:val="single"/>
        </w:rPr>
      </w:pPr>
      <w:r>
        <w:rPr>
          <w:u w:val="single"/>
        </w:rPr>
        <w:t>B.S. Degree:</w:t>
      </w:r>
    </w:p>
    <w:p w14:paraId="369CE051" w14:textId="77777777" w:rsidR="00000000" w:rsidRDefault="00B9540E">
      <w:pPr>
        <w:spacing w:line="276" w:lineRule="auto"/>
        <w:ind w:left="1440"/>
      </w:pPr>
      <w:r>
        <w:t>Name of Degree: B.S.</w:t>
      </w:r>
    </w:p>
    <w:p w14:paraId="3B565C5E" w14:textId="77777777" w:rsidR="00000000" w:rsidRDefault="00B9540E">
      <w:pPr>
        <w:ind w:left="1440"/>
      </w:pPr>
      <w:r>
        <w:t>Year Conferred: 2014</w:t>
      </w:r>
    </w:p>
    <w:p w14:paraId="7B224CEC" w14:textId="77777777" w:rsidR="00000000" w:rsidRDefault="00B9540E">
      <w:pPr>
        <w:tabs>
          <w:tab w:val="right" w:pos="9360"/>
        </w:tabs>
        <w:ind w:left="1440"/>
      </w:pPr>
      <w:r>
        <w:t>Degree-Granting Institution: Miami University of Ohio</w:t>
      </w:r>
    </w:p>
    <w:p w14:paraId="6DEE0493" w14:textId="77777777" w:rsidR="00000000" w:rsidRDefault="00B9540E">
      <w:pPr>
        <w:ind w:left="1440"/>
      </w:pPr>
      <w:r>
        <w:t xml:space="preserve">Principal Academic Units: </w:t>
      </w:r>
    </w:p>
    <w:p w14:paraId="5F326B92" w14:textId="77777777" w:rsidR="00000000" w:rsidRDefault="00B9540E">
      <w:pPr>
        <w:ind w:left="1440"/>
      </w:pPr>
      <w:r>
        <w:t>Major Fields of Study: Business Economics</w:t>
      </w:r>
    </w:p>
    <w:p w14:paraId="2C5596BC" w14:textId="77777777" w:rsidR="00000000" w:rsidRDefault="00B9540E">
      <w:pPr>
        <w:ind w:left="1440"/>
      </w:pPr>
      <w:r>
        <w:t xml:space="preserve">Minor Field of Study:  </w:t>
      </w:r>
    </w:p>
    <w:p w14:paraId="6A8463D7" w14:textId="77777777" w:rsidR="00000000" w:rsidRDefault="00B9540E">
      <w:pPr>
        <w:spacing w:line="276" w:lineRule="auto"/>
        <w:ind w:left="1440"/>
      </w:pPr>
      <w:r>
        <w:lastRenderedPageBreak/>
        <w:t>Disserta</w:t>
      </w:r>
      <w:r>
        <w:t xml:space="preserve">tion Title: </w:t>
      </w:r>
    </w:p>
    <w:p w14:paraId="73F71C20" w14:textId="77777777" w:rsidR="00000000" w:rsidRDefault="00B9540E">
      <w:pPr>
        <w:rPr>
          <w:b/>
          <w:bCs/>
        </w:rPr>
      </w:pPr>
    </w:p>
    <w:p w14:paraId="69FEDC7A" w14:textId="77777777" w:rsidR="00000000" w:rsidRDefault="00B9540E">
      <w:pPr>
        <w:rPr>
          <w:b/>
          <w:bCs/>
        </w:rPr>
      </w:pPr>
      <w:r>
        <w:rPr>
          <w:b/>
          <w:bCs/>
        </w:rPr>
        <w:t>SCHOLARLY ACTIVITIES</w:t>
      </w:r>
    </w:p>
    <w:p w14:paraId="715D210A" w14:textId="77777777" w:rsidR="00000000" w:rsidRDefault="00B9540E">
      <w:pPr>
        <w:ind w:left="720"/>
        <w:rPr>
          <w:u w:val="single"/>
        </w:rPr>
      </w:pPr>
    </w:p>
    <w:p w14:paraId="1CC96BFB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76402CA9" w14:textId="77777777" w:rsidR="00000000" w:rsidRDefault="00B9540E">
      <w:pPr>
        <w:ind w:left="1440" w:hanging="360"/>
      </w:pPr>
    </w:p>
    <w:p w14:paraId="16FE3D3E" w14:textId="77777777" w:rsidR="00000000" w:rsidRDefault="00B9540E">
      <w:pPr>
        <w:ind w:left="1080" w:hanging="360"/>
      </w:pPr>
      <w:r>
        <w:t>1.</w:t>
      </w:r>
      <w:r>
        <w:tab/>
      </w:r>
      <w:r>
        <w:t xml:space="preserve">Nesson, E.T., Niekamp, P. (2021). The Relationship between In-Person Voting and COVID-19: Evidence from the Wisconsin Primary. </w:t>
      </w:r>
      <w:r>
        <w:rPr>
          <w:i/>
          <w:iCs/>
        </w:rPr>
        <w:t>Contemporary Economic Policy, Tier 2, 70</w:t>
      </w:r>
      <w:r>
        <w:t>(October), 760-777.</w:t>
      </w:r>
      <w:r>
        <w:t xml:space="preserve"> </w:t>
      </w:r>
      <w:r>
        <w:rPr>
          <w:b/>
          <w:bCs/>
        </w:rPr>
        <w:t>Tier 2</w:t>
      </w:r>
      <w:r>
        <w:t>/Basic</w:t>
      </w:r>
      <w:r>
        <w:t xml:space="preserve"> or Discovery Scholarship</w:t>
      </w:r>
    </w:p>
    <w:p w14:paraId="32803217" w14:textId="77777777" w:rsidR="00000000" w:rsidRDefault="00B9540E">
      <w:pPr>
        <w:ind w:left="1440" w:hanging="360"/>
      </w:pPr>
    </w:p>
    <w:p w14:paraId="7B0E6987" w14:textId="77777777" w:rsidR="00000000" w:rsidRDefault="00B9540E">
      <w:pPr>
        <w:ind w:left="1080" w:hanging="360"/>
      </w:pPr>
      <w:r>
        <w:t>2.</w:t>
      </w:r>
      <w:r>
        <w:tab/>
        <w:t xml:space="preserve">Niekamp, P. College Student Travel Contributed to Local COVID-19 Spread. </w:t>
      </w:r>
      <w:r>
        <w:rPr>
          <w:i/>
          <w:iCs/>
        </w:rPr>
        <w:t>Journal of Urban Economics, Tier 1</w:t>
      </w:r>
      <w:r>
        <w:t>.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</w:t>
      </w:r>
      <w:r>
        <w:rPr>
          <w:b/>
          <w:bCs/>
        </w:rPr>
        <w:t>Tie</w:t>
      </w:r>
      <w:r>
        <w:rPr>
          <w:b/>
          <w:bCs/>
        </w:rPr>
        <w:t>r 1</w:t>
      </w:r>
      <w:r>
        <w:t>/Basic or Discovery Scholarship</w:t>
      </w:r>
      <w:bookmarkEnd w:id="0"/>
      <w:bookmarkEnd w:id="1"/>
      <w:bookmarkEnd w:id="2"/>
      <w:bookmarkEnd w:id="3"/>
      <w:bookmarkEnd w:id="4"/>
      <w:bookmarkEnd w:id="5"/>
    </w:p>
    <w:p w14:paraId="72F363B0" w14:textId="77777777" w:rsidR="00000000" w:rsidRDefault="00B9540E">
      <w:pPr>
        <w:ind w:left="720"/>
        <w:rPr>
          <w:b/>
          <w:bCs/>
        </w:rPr>
      </w:pPr>
    </w:p>
    <w:p w14:paraId="7E445CAE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Work-in-Progress</w:t>
      </w:r>
    </w:p>
    <w:p w14:paraId="1FA48842" w14:textId="77777777" w:rsidR="00000000" w:rsidRDefault="00B9540E">
      <w:pPr>
        <w:pStyle w:val="section2"/>
      </w:pPr>
    </w:p>
    <w:p w14:paraId="060C07FF" w14:textId="77777777" w:rsidR="00000000" w:rsidRDefault="00B9540E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Journal Article</w:t>
      </w:r>
    </w:p>
    <w:p w14:paraId="169B8812" w14:textId="77777777" w:rsidR="00000000" w:rsidRDefault="00B9540E">
      <w:pPr>
        <w:ind w:left="1080" w:hanging="360"/>
      </w:pPr>
    </w:p>
    <w:p w14:paraId="67BFEA7C" w14:textId="77777777" w:rsidR="00000000" w:rsidRDefault="00B9540E">
      <w:pPr>
        <w:ind w:left="1080" w:hanging="360"/>
      </w:pPr>
      <w:r>
        <w:t>1.</w:t>
      </w:r>
      <w:r>
        <w:tab/>
        <w:t>Niekamp, P. The Effect Of Personal Finance Education Mandates On Inflation Expectation Accuracy.</w:t>
      </w:r>
    </w:p>
    <w:p w14:paraId="48938FFB" w14:textId="77777777" w:rsidR="00000000" w:rsidRDefault="00B9540E">
      <w:pPr>
        <w:ind w:left="1080" w:hanging="360"/>
      </w:pPr>
    </w:p>
    <w:p w14:paraId="60077077" w14:textId="77777777" w:rsidR="00000000" w:rsidRDefault="00B9540E">
      <w:pPr>
        <w:ind w:left="1080" w:hanging="360"/>
      </w:pPr>
      <w:r>
        <w:t>2.</w:t>
      </w:r>
      <w:r>
        <w:tab/>
        <w:t xml:space="preserve">Niekamp, P. Disparities </w:t>
      </w:r>
      <w:r>
        <w:t>In Healthcare Provider Reviews: Evidence From US Healthcare Systems.</w:t>
      </w:r>
    </w:p>
    <w:p w14:paraId="18726EBB" w14:textId="77777777" w:rsidR="00000000" w:rsidRDefault="00B9540E">
      <w:pPr>
        <w:ind w:left="1080" w:hanging="360"/>
      </w:pPr>
    </w:p>
    <w:p w14:paraId="790ECC2E" w14:textId="77777777" w:rsidR="00000000" w:rsidRDefault="00B9540E">
      <w:pPr>
        <w:ind w:left="1080" w:hanging="360"/>
      </w:pPr>
      <w:r>
        <w:t>3.</w:t>
      </w:r>
      <w:r>
        <w:tab/>
        <w:t>Niekamp, P. Racial Disparities In Healthcare Provider Reviews: Evidence From Western Europe.</w:t>
      </w:r>
    </w:p>
    <w:p w14:paraId="47BBEF28" w14:textId="77777777" w:rsidR="00000000" w:rsidRDefault="00B9540E">
      <w:pPr>
        <w:ind w:left="1080" w:hanging="360"/>
      </w:pPr>
    </w:p>
    <w:p w14:paraId="0FD2A17C" w14:textId="77777777" w:rsidR="00000000" w:rsidRDefault="00B9540E">
      <w:pPr>
        <w:ind w:left="1080" w:hanging="360"/>
      </w:pPr>
      <w:r>
        <w:t>4.</w:t>
      </w:r>
      <w:r>
        <w:tab/>
        <w:t>Niekamp, P. The Effect Of Electronic Health Record Systems On Healthcare Provider Revi</w:t>
      </w:r>
      <w:r>
        <w:t>ews.</w:t>
      </w:r>
    </w:p>
    <w:p w14:paraId="1E89BE42" w14:textId="77777777" w:rsidR="00000000" w:rsidRDefault="00B9540E">
      <w:pPr>
        <w:pStyle w:val="section2"/>
      </w:pPr>
    </w:p>
    <w:p w14:paraId="2554A3E6" w14:textId="77777777" w:rsidR="00000000" w:rsidRDefault="00B9540E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Working Paper</w:t>
      </w:r>
    </w:p>
    <w:p w14:paraId="3B2071B1" w14:textId="77777777" w:rsidR="00000000" w:rsidRDefault="00B9540E">
      <w:pPr>
        <w:ind w:left="1080" w:hanging="360"/>
      </w:pPr>
    </w:p>
    <w:p w14:paraId="66B6638C" w14:textId="77777777" w:rsidR="00000000" w:rsidRDefault="00B9540E">
      <w:pPr>
        <w:ind w:left="1080" w:hanging="360"/>
      </w:pPr>
      <w:r>
        <w:t>5.</w:t>
      </w:r>
      <w:r>
        <w:tab/>
        <w:t xml:space="preserve">Niekamp, P. </w:t>
      </w:r>
      <w:r>
        <w:rPr>
          <w:i/>
          <w:iCs/>
        </w:rPr>
        <w:t>Gender And Racial Disparities In Financial Literacy: Accuracy Matters</w:t>
      </w:r>
      <w:r>
        <w:t>.</w:t>
      </w:r>
    </w:p>
    <w:p w14:paraId="7E15E04D" w14:textId="77777777" w:rsidR="00000000" w:rsidRDefault="00B9540E">
      <w:pPr>
        <w:ind w:left="720"/>
        <w:rPr>
          <w:b/>
          <w:bCs/>
        </w:rPr>
      </w:pPr>
    </w:p>
    <w:p w14:paraId="284AE023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Other Publications</w:t>
      </w:r>
    </w:p>
    <w:p w14:paraId="5B85636C" w14:textId="77777777" w:rsidR="00000000" w:rsidRDefault="00B9540E">
      <w:pPr>
        <w:ind w:left="1080" w:hanging="360"/>
      </w:pPr>
    </w:p>
    <w:p w14:paraId="274415BB" w14:textId="77777777" w:rsidR="00000000" w:rsidRDefault="00B9540E">
      <w:pPr>
        <w:ind w:left="1080" w:hanging="360"/>
      </w:pPr>
      <w:r>
        <w:t>1.</w:t>
      </w:r>
      <w:r>
        <w:tab/>
        <w:t xml:space="preserve">DeCicca, P.P., Fan, M., Nesson, E.T., Nguyen, M., Niekamp, P. (2020). </w:t>
      </w:r>
      <w:r>
        <w:rPr>
          <w:i/>
          <w:iCs/>
        </w:rPr>
        <w:t>The COVID-19 Pandemic in Indiana: Documenting its Sprea</w:t>
      </w:r>
      <w:r>
        <w:rPr>
          <w:i/>
          <w:iCs/>
        </w:rPr>
        <w:t>d and the Social Distancing Behavior of Hoosiers</w:t>
      </w:r>
      <w:r>
        <w:t>. Miller College of Business Research Collection. https://www.bsu.edu/-/media/www/departmentalcontent/millercollegeofbusiness/pdfs/faculty%20research%20collection/covid/covid-sdbehavior.pdf /Basic or Discover</w:t>
      </w:r>
      <w:r>
        <w:t>y Scholarship</w:t>
      </w:r>
    </w:p>
    <w:p w14:paraId="7A026532" w14:textId="77777777" w:rsidR="00000000" w:rsidRDefault="00B9540E">
      <w:pPr>
        <w:ind w:left="720"/>
        <w:rPr>
          <w:b/>
          <w:bCs/>
        </w:rPr>
      </w:pPr>
    </w:p>
    <w:p w14:paraId="48F12D31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675F9EB8" w14:textId="77777777" w:rsidR="00000000" w:rsidRDefault="00B9540E">
      <w:pPr>
        <w:ind w:left="720"/>
      </w:pPr>
    </w:p>
    <w:p w14:paraId="5A58E497" w14:textId="77777777" w:rsidR="00000000" w:rsidRDefault="00B9540E">
      <w:pPr>
        <w:ind w:left="1080" w:hanging="360"/>
      </w:pPr>
      <w:r>
        <w:t>1.</w:t>
      </w:r>
      <w:r>
        <w:tab/>
      </w:r>
      <w:r>
        <w:t xml:space="preserve">Niekamp, P., Midwest Institutes Conference, "Healthcare Provider Review Systems Reducing Information Asymmetry," Fishers, Indiana. (May 21, 2024). Basic or </w:t>
      </w:r>
      <w:r>
        <w:lastRenderedPageBreak/>
        <w:t>Discovery Scholarship</w:t>
      </w:r>
    </w:p>
    <w:p w14:paraId="1F465657" w14:textId="77777777" w:rsidR="00000000" w:rsidRDefault="00B9540E">
      <w:pPr>
        <w:ind w:left="720"/>
      </w:pPr>
    </w:p>
    <w:p w14:paraId="686B0724" w14:textId="77777777" w:rsidR="00000000" w:rsidRDefault="00B9540E">
      <w:pPr>
        <w:ind w:left="1080" w:hanging="360"/>
      </w:pPr>
      <w:r>
        <w:t>2.</w:t>
      </w:r>
      <w:r>
        <w:tab/>
        <w:t>Niekamp, P., Midwest Institutes Conference, "Grade Inflation In Healthcare</w:t>
      </w:r>
      <w:r>
        <w:t xml:space="preserve"> Provider Reviews And Disparities Within," Ball State University Institute for the study of Political Economy, Fishers, Indiana. (May 17, 2023). Basic or Discovery Scholarship</w:t>
      </w:r>
    </w:p>
    <w:p w14:paraId="6CFDF17A" w14:textId="77777777" w:rsidR="00000000" w:rsidRDefault="00B9540E">
      <w:pPr>
        <w:ind w:left="720"/>
      </w:pPr>
    </w:p>
    <w:p w14:paraId="6525C9C2" w14:textId="77777777" w:rsidR="00000000" w:rsidRDefault="00B9540E">
      <w:pPr>
        <w:ind w:left="1080" w:hanging="360"/>
      </w:pPr>
      <w:r>
        <w:t>3.</w:t>
      </w:r>
      <w:r>
        <w:tab/>
        <w:t>Niekamp, P., Midwest Institutes Conference, "Staggered DiD: Recently Discove</w:t>
      </w:r>
      <w:r>
        <w:t>red Issues and Remedies," Ball State University Institute for the Study of Political Economy, Fishers, Indiana. (June 13, 2022). Basic or Discovery Scholarship</w:t>
      </w:r>
    </w:p>
    <w:p w14:paraId="75B9FBCD" w14:textId="77777777" w:rsidR="00000000" w:rsidRDefault="00B9540E">
      <w:pPr>
        <w:ind w:left="720"/>
        <w:rPr>
          <w:b/>
          <w:bCs/>
        </w:rPr>
      </w:pPr>
    </w:p>
    <w:p w14:paraId="7AFDEFFD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Conferences and Meetings Attended</w:t>
      </w:r>
    </w:p>
    <w:p w14:paraId="7AECBB50" w14:textId="77777777" w:rsidR="00000000" w:rsidRDefault="00B9540E">
      <w:pPr>
        <w:ind w:left="720"/>
      </w:pPr>
    </w:p>
    <w:p w14:paraId="66DAD662" w14:textId="77777777" w:rsidR="00000000" w:rsidRDefault="00B9540E">
      <w:pPr>
        <w:ind w:left="1080" w:hanging="360"/>
      </w:pPr>
      <w:r>
        <w:t>1.</w:t>
      </w:r>
      <w:r>
        <w:tab/>
        <w:t>Midwest Institutes Conference, Ball State University Inst</w:t>
      </w:r>
      <w:r>
        <w:t>itute for the Study of Political Economy. (May 2023 - May 2023). / Basic or Discovery Scholarship</w:t>
      </w:r>
    </w:p>
    <w:p w14:paraId="745F6436" w14:textId="77777777" w:rsidR="00000000" w:rsidRDefault="00B9540E">
      <w:pPr>
        <w:ind w:left="720"/>
      </w:pPr>
    </w:p>
    <w:p w14:paraId="0A945A11" w14:textId="77777777" w:rsidR="00000000" w:rsidRDefault="00B9540E">
      <w:pPr>
        <w:ind w:left="1080" w:hanging="360"/>
      </w:pPr>
      <w:r>
        <w:t>2.</w:t>
      </w:r>
      <w:r>
        <w:tab/>
        <w:t>Midwest Institutes Conference, Ball State University Institute for the study of Political Economy. (June 2022 - June 2022). / Basic or Discovery Scholarsh</w:t>
      </w:r>
      <w:r>
        <w:t>ip</w:t>
      </w:r>
    </w:p>
    <w:p w14:paraId="784FE7C2" w14:textId="77777777" w:rsidR="00000000" w:rsidRDefault="00B9540E">
      <w:pPr>
        <w:ind w:left="720"/>
      </w:pPr>
    </w:p>
    <w:p w14:paraId="2C7AF66A" w14:textId="77777777" w:rsidR="00000000" w:rsidRDefault="00B9540E">
      <w:pPr>
        <w:ind w:left="1080" w:hanging="360"/>
      </w:pPr>
      <w:r>
        <w:t>3.</w:t>
      </w:r>
      <w:r>
        <w:tab/>
        <w:t>NBER Health Economics, NBER. (December 2021 - December 2021). / Basic or Discovery Scholarship</w:t>
      </w:r>
    </w:p>
    <w:p w14:paraId="044BFA95" w14:textId="77777777" w:rsidR="00000000" w:rsidRDefault="00B9540E">
      <w:pPr>
        <w:ind w:left="720"/>
      </w:pPr>
    </w:p>
    <w:p w14:paraId="71D8D0D6" w14:textId="77777777" w:rsidR="00000000" w:rsidRDefault="00B9540E">
      <w:pPr>
        <w:ind w:left="1080" w:hanging="360"/>
      </w:pPr>
      <w:r>
        <w:t>4.</w:t>
      </w:r>
      <w:r>
        <w:tab/>
        <w:t>NBER Summer Institute 2021, Health Economics Workshop, NBER. (July 2021 - July 2021). / Basic or Discovery Scholarship</w:t>
      </w:r>
    </w:p>
    <w:p w14:paraId="25D0901D" w14:textId="77777777" w:rsidR="00000000" w:rsidRDefault="00B9540E">
      <w:pPr>
        <w:ind w:left="720"/>
      </w:pPr>
    </w:p>
    <w:p w14:paraId="4D357171" w14:textId="77777777" w:rsidR="00000000" w:rsidRDefault="00B9540E">
      <w:pPr>
        <w:ind w:left="1080" w:hanging="360"/>
      </w:pPr>
      <w:r>
        <w:t>5.</w:t>
      </w:r>
      <w:r>
        <w:tab/>
        <w:t>NBER Health Summer Institut</w:t>
      </w:r>
      <w:r>
        <w:t xml:space="preserve">e, NBER. (July 2020 - July 2020). </w:t>
      </w:r>
    </w:p>
    <w:p w14:paraId="164DCBC7" w14:textId="77777777" w:rsidR="00000000" w:rsidRDefault="00B9540E">
      <w:pPr>
        <w:ind w:left="720"/>
      </w:pPr>
    </w:p>
    <w:p w14:paraId="418F4EF6" w14:textId="77777777" w:rsidR="00000000" w:rsidRDefault="00B9540E">
      <w:pPr>
        <w:ind w:left="1080" w:hanging="360"/>
      </w:pPr>
      <w:r>
        <w:t>6.</w:t>
      </w:r>
      <w:r>
        <w:tab/>
        <w:t xml:space="preserve">Summer E-con of Education, Scott A. Imberman (Michigan State University); Michael  Lovenheim (Cornell University). (June 2020 - June 2020). </w:t>
      </w:r>
    </w:p>
    <w:p w14:paraId="31D4F9A7" w14:textId="77777777" w:rsidR="00000000" w:rsidRDefault="00B9540E">
      <w:pPr>
        <w:ind w:left="720"/>
      </w:pPr>
    </w:p>
    <w:p w14:paraId="527A3DAE" w14:textId="77777777" w:rsidR="00000000" w:rsidRDefault="00B9540E">
      <w:pPr>
        <w:ind w:left="1080" w:hanging="360"/>
      </w:pPr>
      <w:r>
        <w:t>7.</w:t>
      </w:r>
      <w:r>
        <w:tab/>
        <w:t>ASSA Annual Meeting, American Economic Association. (January 2020 - Janu</w:t>
      </w:r>
      <w:r>
        <w:t xml:space="preserve">ary 2020). </w:t>
      </w:r>
    </w:p>
    <w:p w14:paraId="369D1706" w14:textId="77777777" w:rsidR="00000000" w:rsidRDefault="00B9540E">
      <w:pPr>
        <w:ind w:left="720"/>
        <w:rPr>
          <w:b/>
          <w:bCs/>
        </w:rPr>
      </w:pPr>
    </w:p>
    <w:p w14:paraId="438920B7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Business and Other Professional Experience</w:t>
      </w:r>
    </w:p>
    <w:p w14:paraId="7EB8D6A8" w14:textId="77777777" w:rsidR="00000000" w:rsidRDefault="00B9540E">
      <w:pPr>
        <w:ind w:left="720"/>
      </w:pPr>
    </w:p>
    <w:p w14:paraId="140FE47E" w14:textId="77777777" w:rsidR="00000000" w:rsidRDefault="00B9540E">
      <w:pPr>
        <w:ind w:left="1080" w:hanging="360"/>
      </w:pPr>
      <w:r>
        <w:t>1.</w:t>
      </w:r>
      <w:r>
        <w:tab/>
        <w:t>Professional, Reviewer/referee. (March 2022 - November 2022).</w:t>
      </w:r>
    </w:p>
    <w:p w14:paraId="40BD7A2F" w14:textId="77777777" w:rsidR="00000000" w:rsidRDefault="00B9540E">
      <w:pPr>
        <w:ind w:left="720"/>
      </w:pPr>
    </w:p>
    <w:p w14:paraId="400530B2" w14:textId="77777777" w:rsidR="00000000" w:rsidRDefault="00B9540E">
      <w:pPr>
        <w:ind w:left="1080" w:hanging="360"/>
      </w:pPr>
      <w:r>
        <w:t>2.</w:t>
      </w:r>
      <w:r>
        <w:tab/>
        <w:t>Professional, Contemporary Economic Policy, Reviewer/referee. (March 2022).</w:t>
      </w:r>
    </w:p>
    <w:p w14:paraId="2229EB6A" w14:textId="77777777" w:rsidR="00000000" w:rsidRDefault="00B9540E">
      <w:pPr>
        <w:ind w:left="720"/>
      </w:pPr>
    </w:p>
    <w:p w14:paraId="3D3917AD" w14:textId="77777777" w:rsidR="00000000" w:rsidRDefault="00B9540E">
      <w:pPr>
        <w:ind w:left="1080" w:hanging="360"/>
      </w:pPr>
      <w:r>
        <w:t>3.</w:t>
      </w:r>
      <w:r>
        <w:tab/>
      </w:r>
      <w:r>
        <w:t>Professional, Public Health Reports, Official Journal of the Office of the U.S. Surgeon General and the U.S. Public Health Service, Reviewer/referee. (September 2021 - October 2021).</w:t>
      </w:r>
    </w:p>
    <w:p w14:paraId="524E1D57" w14:textId="77777777" w:rsidR="00000000" w:rsidRDefault="00B9540E">
      <w:pPr>
        <w:ind w:left="720"/>
      </w:pPr>
    </w:p>
    <w:p w14:paraId="19C8761D" w14:textId="77777777" w:rsidR="00000000" w:rsidRDefault="00B9540E">
      <w:pPr>
        <w:ind w:left="1080" w:hanging="360"/>
      </w:pPr>
      <w:r>
        <w:t>4.</w:t>
      </w:r>
      <w:r>
        <w:tab/>
        <w:t>Professional, Economics and Human Biology, Reviewer/referee. (March 2</w:t>
      </w:r>
      <w:r>
        <w:t>021 - July 2021).</w:t>
      </w:r>
    </w:p>
    <w:p w14:paraId="3A67F267" w14:textId="77777777" w:rsidR="00000000" w:rsidRDefault="00B9540E">
      <w:pPr>
        <w:ind w:left="720"/>
      </w:pPr>
    </w:p>
    <w:p w14:paraId="40CB3847" w14:textId="77777777" w:rsidR="00000000" w:rsidRDefault="00B9540E">
      <w:pPr>
        <w:ind w:left="1080" w:hanging="360"/>
      </w:pPr>
      <w:r>
        <w:t>5.</w:t>
      </w:r>
      <w:r>
        <w:tab/>
        <w:t>Professional, Economic Inquiry, Reviewer/referee. (February 2021).</w:t>
      </w:r>
    </w:p>
    <w:p w14:paraId="4F3AD3FC" w14:textId="77777777" w:rsidR="00000000" w:rsidRDefault="00B9540E">
      <w:pPr>
        <w:ind w:left="720"/>
      </w:pPr>
    </w:p>
    <w:p w14:paraId="1EE33C5F" w14:textId="77777777" w:rsidR="00000000" w:rsidRDefault="00B9540E">
      <w:pPr>
        <w:ind w:left="1080" w:hanging="360"/>
      </w:pPr>
      <w:r>
        <w:t>6.</w:t>
      </w:r>
      <w:r>
        <w:tab/>
        <w:t>Professional, Journal of Policy Analysis and Management, Reviewer/referee. (August 2020 - October 2020).</w:t>
      </w:r>
    </w:p>
    <w:p w14:paraId="0E8FC97A" w14:textId="77777777" w:rsidR="00000000" w:rsidRDefault="00B9540E">
      <w:pPr>
        <w:ind w:left="720"/>
      </w:pPr>
    </w:p>
    <w:p w14:paraId="3D31134E" w14:textId="77777777" w:rsidR="00000000" w:rsidRDefault="00B9540E">
      <w:pPr>
        <w:ind w:left="1080" w:hanging="360"/>
      </w:pPr>
      <w:r>
        <w:t>7.</w:t>
      </w:r>
      <w:r>
        <w:tab/>
        <w:t>Professional, Journal of Health Economics, Reviewer/re</w:t>
      </w:r>
      <w:r>
        <w:t>feree. (January 2018 - July 2020).</w:t>
      </w:r>
    </w:p>
    <w:p w14:paraId="1EBE63D7" w14:textId="77777777" w:rsidR="00000000" w:rsidRDefault="00B9540E">
      <w:pPr>
        <w:ind w:left="720"/>
      </w:pPr>
    </w:p>
    <w:p w14:paraId="0908F40B" w14:textId="77777777" w:rsidR="00000000" w:rsidRDefault="00B9540E">
      <w:pPr>
        <w:ind w:left="1080" w:hanging="360"/>
      </w:pPr>
      <w:r>
        <w:t>8.</w:t>
      </w:r>
      <w:r>
        <w:tab/>
        <w:t>Professional, Economics and Human Biology, Reviewer/referee. (June 2020 - July 2020).</w:t>
      </w:r>
    </w:p>
    <w:p w14:paraId="378701AB" w14:textId="77777777" w:rsidR="00000000" w:rsidRDefault="00B9540E">
      <w:pPr>
        <w:ind w:left="720"/>
      </w:pPr>
    </w:p>
    <w:p w14:paraId="5157D563" w14:textId="77777777" w:rsidR="00000000" w:rsidRDefault="00B9540E">
      <w:pPr>
        <w:ind w:left="1080" w:hanging="360"/>
      </w:pPr>
      <w:r>
        <w:t>9.</w:t>
      </w:r>
      <w:r>
        <w:tab/>
        <w:t>Professional, Health Affairs, Reviewer/referee. (June 2020 - July 2020).</w:t>
      </w:r>
    </w:p>
    <w:p w14:paraId="31A20FC2" w14:textId="77777777" w:rsidR="00000000" w:rsidRDefault="00B9540E">
      <w:pPr>
        <w:ind w:left="720"/>
        <w:rPr>
          <w:b/>
          <w:bCs/>
        </w:rPr>
      </w:pPr>
    </w:p>
    <w:p w14:paraId="31434252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Professional Development and Participation</w:t>
      </w:r>
    </w:p>
    <w:p w14:paraId="7C540A25" w14:textId="77777777" w:rsidR="00000000" w:rsidRDefault="00B9540E">
      <w:pPr>
        <w:ind w:left="720"/>
      </w:pPr>
    </w:p>
    <w:p w14:paraId="3F161CC9" w14:textId="77777777" w:rsidR="00000000" w:rsidRDefault="00B9540E">
      <w:pPr>
        <w:ind w:left="1080" w:hanging="360"/>
      </w:pPr>
      <w:r>
        <w:t>1.</w:t>
      </w:r>
      <w:r>
        <w:tab/>
        <w:t>Traini</w:t>
      </w:r>
      <w:r>
        <w:t>ng, Teaching, "The Skills Infusion Program is a professional development experience that takes place over the course of one semester and focuses on reviewing course syllabi, mapping course outcomes to the National Association of Colleges and Employers’ (NA</w:t>
      </w:r>
      <w:r>
        <w:t>CE) transferable skills, and reflecting this on syllabi with input from the Career Center and an Indiana employer/alumni partner."--quote from Skills Infusion Program welcome email. (February 2022) / Teaching and Learning Scholarship</w:t>
      </w:r>
    </w:p>
    <w:p w14:paraId="4E5B21DC" w14:textId="77777777" w:rsidR="00000000" w:rsidRDefault="00B9540E">
      <w:pPr>
        <w:ind w:left="720"/>
      </w:pPr>
    </w:p>
    <w:p w14:paraId="192EE2C5" w14:textId="77777777" w:rsidR="00000000" w:rsidRDefault="00B9540E">
      <w:pPr>
        <w:ind w:left="1080" w:hanging="360"/>
      </w:pPr>
      <w:r>
        <w:t>2.</w:t>
      </w:r>
      <w:r>
        <w:tab/>
        <w:t>Training, Teaching</w:t>
      </w:r>
      <w:r>
        <w:t xml:space="preserve">, QM Review. The following quote about the Quality Matters Program is copied from the URL below: "Ball State is a member of the </w:t>
      </w:r>
      <w:r>
        <w:rPr>
          <w:b/>
          <w:bCs/>
        </w:rPr>
        <w:t>Quality Matters Program</w:t>
      </w:r>
      <w:r>
        <w:t xml:space="preserve">, which provides a nationally-recognized standard of best practices for online and blended learning. The </w:t>
      </w:r>
      <w:r>
        <w:t xml:space="preserve">program is recognized by the </w:t>
      </w:r>
      <w:r>
        <w:rPr>
          <w:b/>
          <w:bCs/>
        </w:rPr>
        <w:t>Online Learning Consortium</w:t>
      </w:r>
      <w:r>
        <w:t>, a professional leadership organization dedicated to integrating online education into the mainstream of higher education."</w:t>
      </w:r>
      <w:r>
        <w:br/>
      </w:r>
      <w:r>
        <w:br/>
        <w:t>My MBA 611 Canvas Course was reviewed and I met via Zoom with Sarah Ackerma</w:t>
      </w:r>
      <w:r>
        <w:t>n to discuss potential updates that I could make to improve my course and teaching style. Upon completion of QM Review, I have been working to update course material and will meet with QM associates to discuss improvement after my Spring 2022 MBA 611 class</w:t>
      </w:r>
      <w:r>
        <w:t xml:space="preserve"> is complete so that we may discuss additional areas for improvement.</w:t>
      </w:r>
      <w:r>
        <w:br/>
      </w:r>
      <w:r>
        <w:br/>
        <w:t>https://www.bsu.edu/about/administrativeoffices/online-and-strategic-learning/faculty-support/professional-development/quality-matters-programs. (July 2021 - December 2021) / Teaching a</w:t>
      </w:r>
      <w:r>
        <w:t>nd Learning Scholarship</w:t>
      </w:r>
    </w:p>
    <w:p w14:paraId="36BE5DFC" w14:textId="77777777" w:rsidR="00000000" w:rsidRDefault="00B9540E">
      <w:pPr>
        <w:ind w:left="720"/>
      </w:pPr>
    </w:p>
    <w:p w14:paraId="40284BC9" w14:textId="77777777" w:rsidR="00000000" w:rsidRDefault="00B9540E">
      <w:pPr>
        <w:ind w:left="1080" w:hanging="360"/>
      </w:pPr>
      <w:r>
        <w:t>3.</w:t>
      </w:r>
      <w:r>
        <w:tab/>
        <w:t xml:space="preserve">Training, Teaching, Training to become a better instructor who is more skilled at engaging students. (January 2021 - January 2021) </w:t>
      </w:r>
    </w:p>
    <w:p w14:paraId="64F0438C" w14:textId="77777777" w:rsidR="00000000" w:rsidRDefault="00B9540E">
      <w:pPr>
        <w:ind w:left="720"/>
      </w:pPr>
    </w:p>
    <w:p w14:paraId="705C306B" w14:textId="77777777" w:rsidR="00000000" w:rsidRDefault="00B9540E">
      <w:pPr>
        <w:ind w:left="1080" w:hanging="360"/>
      </w:pPr>
      <w:r>
        <w:t>4.</w:t>
      </w:r>
      <w:r>
        <w:tab/>
        <w:t xml:space="preserve">Training, Teaching, Bootcamp for Multimodal Teaching. (June 2020 - June 2020) </w:t>
      </w:r>
    </w:p>
    <w:p w14:paraId="1BBA5B8E" w14:textId="77777777" w:rsidR="00000000" w:rsidRDefault="00B9540E">
      <w:pPr>
        <w:ind w:left="720"/>
      </w:pPr>
    </w:p>
    <w:p w14:paraId="5757129A" w14:textId="77777777" w:rsidR="00000000" w:rsidRDefault="00B9540E">
      <w:pPr>
        <w:ind w:left="1080" w:hanging="360"/>
      </w:pPr>
      <w:r>
        <w:t>5.</w:t>
      </w:r>
      <w:r>
        <w:tab/>
        <w:t>Training,</w:t>
      </w:r>
      <w:r>
        <w:t xml:space="preserve"> Other, New Faculty Academy. A one-semester training program for new </w:t>
      </w:r>
      <w:r>
        <w:lastRenderedPageBreak/>
        <w:t xml:space="preserve">faculty at BSU. (August 2019 - December 2019) </w:t>
      </w:r>
    </w:p>
    <w:p w14:paraId="42718ABE" w14:textId="77777777" w:rsidR="00000000" w:rsidRDefault="00B9540E">
      <w:pPr>
        <w:ind w:left="720"/>
        <w:rPr>
          <w:b/>
          <w:bCs/>
        </w:rPr>
      </w:pPr>
    </w:p>
    <w:p w14:paraId="18E46AFA" w14:textId="77777777" w:rsidR="00000000" w:rsidRDefault="00B9540E">
      <w:pPr>
        <w:rPr>
          <w:b/>
          <w:bCs/>
        </w:rPr>
      </w:pPr>
      <w:r>
        <w:rPr>
          <w:b/>
          <w:bCs/>
        </w:rPr>
        <w:t>SERVICE ACTIVITIES</w:t>
      </w:r>
    </w:p>
    <w:p w14:paraId="0DE8A508" w14:textId="77777777" w:rsidR="00000000" w:rsidRDefault="00B9540E">
      <w:pPr>
        <w:ind w:left="720"/>
        <w:rPr>
          <w:b/>
          <w:bCs/>
        </w:rPr>
      </w:pPr>
    </w:p>
    <w:p w14:paraId="310FDDD4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Student Mentoring/Supervision</w:t>
      </w:r>
    </w:p>
    <w:p w14:paraId="48BDD127" w14:textId="77777777" w:rsidR="00000000" w:rsidRDefault="00B9540E"/>
    <w:p w14:paraId="350D956B" w14:textId="77777777" w:rsidR="00000000" w:rsidRDefault="00B9540E">
      <w:pPr>
        <w:ind w:left="1080" w:hanging="360"/>
      </w:pPr>
      <w:r>
        <w:t>1.</w:t>
      </w:r>
      <w:r>
        <w:tab/>
      </w:r>
      <w:r>
        <w:t>Jimmy Stueve, Math, HONR 499, 3 credit hours, "Senior Honors Project," Completed. (December 2021).</w:t>
      </w:r>
    </w:p>
    <w:p w14:paraId="6529F1F3" w14:textId="77777777" w:rsidR="00000000" w:rsidRDefault="00B9540E">
      <w:pPr>
        <w:ind w:left="720"/>
        <w:rPr>
          <w:b/>
          <w:bCs/>
        </w:rPr>
      </w:pPr>
    </w:p>
    <w:p w14:paraId="1533ED71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0428CCB0" w14:textId="77777777" w:rsidR="00000000" w:rsidRDefault="00B9540E"/>
    <w:p w14:paraId="2C413E1A" w14:textId="77777777" w:rsidR="00000000" w:rsidRDefault="00B9540E">
      <w:pPr>
        <w:ind w:left="1080" w:hanging="360"/>
      </w:pPr>
      <w:r>
        <w:t>1.</w:t>
      </w:r>
      <w:r>
        <w:tab/>
        <w:t>College, AOL HLC, Committee Member. (March 2023 - Present).</w:t>
      </w:r>
    </w:p>
    <w:p w14:paraId="5DF82DD5" w14:textId="77777777" w:rsidR="00000000" w:rsidRDefault="00B9540E"/>
    <w:p w14:paraId="15031BAC" w14:textId="77777777" w:rsidR="00000000" w:rsidRDefault="00B9540E">
      <w:pPr>
        <w:ind w:left="1080" w:hanging="360"/>
      </w:pPr>
      <w:r>
        <w:t>2.</w:t>
      </w:r>
      <w:r>
        <w:tab/>
        <w:t>College, GCC, Committee Member. (January 20</w:t>
      </w:r>
      <w:r>
        <w:t>23 - 2024).</w:t>
      </w:r>
    </w:p>
    <w:p w14:paraId="3349606A" w14:textId="77777777" w:rsidR="00000000" w:rsidRDefault="00B9540E"/>
    <w:p w14:paraId="21048E90" w14:textId="77777777" w:rsidR="00000000" w:rsidRDefault="00B9540E">
      <w:pPr>
        <w:ind w:left="1080" w:hanging="360"/>
      </w:pPr>
      <w:r>
        <w:t>3.</w:t>
      </w:r>
      <w:r>
        <w:tab/>
        <w:t>College, AOL HLC within MCOB. (January 2022 - 2024).</w:t>
      </w:r>
    </w:p>
    <w:p w14:paraId="46DDEBCD" w14:textId="77777777" w:rsidR="00000000" w:rsidRDefault="00B9540E"/>
    <w:p w14:paraId="4AABE7DF" w14:textId="77777777" w:rsidR="00000000" w:rsidRDefault="00B9540E">
      <w:pPr>
        <w:ind w:left="1080" w:hanging="360"/>
      </w:pPr>
      <w:r>
        <w:t>4.</w:t>
      </w:r>
      <w:r>
        <w:tab/>
        <w:t>College, Graduate Curriculum/Assessment, Committee Member. (August 2022 - August 2024).</w:t>
      </w:r>
    </w:p>
    <w:p w14:paraId="3FEB2C08" w14:textId="77777777" w:rsidR="00000000" w:rsidRDefault="00B9540E"/>
    <w:p w14:paraId="3C04F677" w14:textId="77777777" w:rsidR="00000000" w:rsidRDefault="00B9540E">
      <w:pPr>
        <w:ind w:left="1080" w:hanging="360"/>
      </w:pPr>
      <w:r>
        <w:t>5.</w:t>
      </w:r>
      <w:r>
        <w:tab/>
        <w:t>College, Assurance Of Learning (AOL) HLC, Event Coordinator. (February 2024).</w:t>
      </w:r>
    </w:p>
    <w:p w14:paraId="256FF89E" w14:textId="77777777" w:rsidR="00000000" w:rsidRDefault="00B9540E"/>
    <w:p w14:paraId="53A18084" w14:textId="77777777" w:rsidR="00000000" w:rsidRDefault="00B9540E">
      <w:pPr>
        <w:ind w:left="1080" w:hanging="360"/>
      </w:pPr>
      <w:r>
        <w:t>6.</w:t>
      </w:r>
      <w:r>
        <w:tab/>
        <w:t>Departmen</w:t>
      </w:r>
      <w:r>
        <w:t>t/program, Economics Department ; Institute for the Study of Political Economy, Faculty Mentor. (August 2023 - January 2024).</w:t>
      </w:r>
    </w:p>
    <w:p w14:paraId="75CC2DDA" w14:textId="77777777" w:rsidR="00000000" w:rsidRDefault="00B9540E"/>
    <w:p w14:paraId="35080599" w14:textId="77777777" w:rsidR="00000000" w:rsidRDefault="00B9540E">
      <w:pPr>
        <w:ind w:left="1080" w:hanging="360"/>
      </w:pPr>
      <w:r>
        <w:t>7.</w:t>
      </w:r>
      <w:r>
        <w:tab/>
        <w:t>Department/program, GCC, Committee Member. (August 2022 - 2023).</w:t>
      </w:r>
    </w:p>
    <w:p w14:paraId="0FCB8CBC" w14:textId="77777777" w:rsidR="00000000" w:rsidRDefault="00B9540E"/>
    <w:p w14:paraId="0EE2CD16" w14:textId="77777777" w:rsidR="00000000" w:rsidRDefault="00B9540E">
      <w:pPr>
        <w:ind w:left="1080" w:hanging="360"/>
      </w:pPr>
      <w:r>
        <w:t>8.</w:t>
      </w:r>
      <w:r>
        <w:tab/>
        <w:t>Department/program. (August 2019 - 2023).</w:t>
      </w:r>
    </w:p>
    <w:p w14:paraId="2DE26EBB" w14:textId="77777777" w:rsidR="00000000" w:rsidRDefault="00B9540E"/>
    <w:p w14:paraId="62BEB613" w14:textId="77777777" w:rsidR="00000000" w:rsidRDefault="00B9540E">
      <w:pPr>
        <w:ind w:left="1080" w:hanging="360"/>
      </w:pPr>
      <w:r>
        <w:t>9.</w:t>
      </w:r>
      <w:r>
        <w:tab/>
        <w:t>College, Gr</w:t>
      </w:r>
      <w:r>
        <w:t>aduate AOL within MCOB. (January 2022 - 2022).</w:t>
      </w:r>
    </w:p>
    <w:p w14:paraId="495BF54E" w14:textId="77777777" w:rsidR="00000000" w:rsidRDefault="00B9540E"/>
    <w:p w14:paraId="67DE9B95" w14:textId="77777777" w:rsidR="00000000" w:rsidRDefault="00B9540E">
      <w:pPr>
        <w:ind w:left="1080" w:hanging="360"/>
      </w:pPr>
      <w:r>
        <w:t>10.</w:t>
      </w:r>
      <w:r>
        <w:tab/>
        <w:t>College, AOL GLIDE, Committee Member. (November 2020 - May 2022).</w:t>
      </w:r>
    </w:p>
    <w:p w14:paraId="620392B2" w14:textId="77777777" w:rsidR="00000000" w:rsidRDefault="00B9540E"/>
    <w:p w14:paraId="3E1FA243" w14:textId="77777777" w:rsidR="00000000" w:rsidRDefault="00B9540E">
      <w:pPr>
        <w:ind w:left="1080" w:hanging="360"/>
      </w:pPr>
      <w:r>
        <w:t>11.</w:t>
      </w:r>
      <w:r>
        <w:tab/>
      </w:r>
      <w:r>
        <w:t>Department/program, AASCB AOL/HLC Assessments Knowledge Committee. (August 2019 - February 2020).</w:t>
      </w:r>
    </w:p>
    <w:p w14:paraId="5EA0B7E2" w14:textId="77777777" w:rsidR="00000000" w:rsidRDefault="00B9540E">
      <w:pPr>
        <w:ind w:left="720"/>
        <w:rPr>
          <w:b/>
          <w:bCs/>
        </w:rPr>
      </w:pPr>
    </w:p>
    <w:p w14:paraId="56BB473F" w14:textId="77777777" w:rsidR="00000000" w:rsidRDefault="00B9540E">
      <w:pPr>
        <w:ind w:left="720"/>
        <w:rPr>
          <w:b/>
          <w:bCs/>
        </w:rPr>
      </w:pPr>
      <w:r>
        <w:rPr>
          <w:b/>
          <w:bCs/>
        </w:rPr>
        <w:t>International Experience</w:t>
      </w:r>
    </w:p>
    <w:p w14:paraId="69A9162C" w14:textId="77777777" w:rsidR="00000000" w:rsidRDefault="00B9540E"/>
    <w:p w14:paraId="16C49178" w14:textId="77777777" w:rsidR="00000000" w:rsidRDefault="00B9540E">
      <w:pPr>
        <w:ind w:left="1080" w:hanging="360"/>
      </w:pPr>
      <w:r>
        <w:t>1.</w:t>
      </w:r>
      <w:r>
        <w:tab/>
        <w:t xml:space="preserve">Department/program, Economics Department ; Institute for the Study of Political Economy, Faculty Mentor. (August 2023 - January </w:t>
      </w:r>
      <w:r>
        <w:t>2024).</w:t>
      </w:r>
    </w:p>
    <w:p w14:paraId="0E0D6943" w14:textId="77777777" w:rsidR="00000000" w:rsidRDefault="00B9540E"/>
    <w:p w14:paraId="338BD973" w14:textId="77777777" w:rsidR="00000000" w:rsidRDefault="00B9540E">
      <w:pPr>
        <w:ind w:left="1080" w:hanging="360"/>
      </w:pPr>
      <w:r>
        <w:t>2.</w:t>
      </w:r>
      <w:r>
        <w:tab/>
        <w:t>Department/program, GCC, Committee Member. (August 2022 - 2023).</w:t>
      </w:r>
    </w:p>
    <w:p w14:paraId="1721EDC4" w14:textId="77777777" w:rsidR="00000000" w:rsidRDefault="00B9540E"/>
    <w:p w14:paraId="0BAB3BA4" w14:textId="77777777" w:rsidR="00000000" w:rsidRDefault="00B9540E">
      <w:pPr>
        <w:ind w:left="1080" w:hanging="360"/>
      </w:pPr>
      <w:r>
        <w:t>3.</w:t>
      </w:r>
      <w:r>
        <w:tab/>
        <w:t>Professional, Reviewer/referee. (March 2022 - November 2022).</w:t>
      </w:r>
    </w:p>
    <w:p w14:paraId="431BC856" w14:textId="77777777" w:rsidR="00000000" w:rsidRDefault="00B9540E"/>
    <w:p w14:paraId="1BE16934" w14:textId="77777777" w:rsidR="00000000" w:rsidRDefault="00B9540E">
      <w:pPr>
        <w:ind w:left="1080" w:hanging="360"/>
      </w:pPr>
      <w:r>
        <w:t>4.</w:t>
      </w:r>
      <w:r>
        <w:tab/>
        <w:t>Professional, Contemporary Economic Policy, Reviewer/referee. (March 2022).</w:t>
      </w:r>
    </w:p>
    <w:p w14:paraId="318DC130" w14:textId="77777777" w:rsidR="00000000" w:rsidRDefault="00B9540E"/>
    <w:p w14:paraId="26392B5A" w14:textId="77777777" w:rsidR="00000000" w:rsidRDefault="00B9540E">
      <w:pPr>
        <w:ind w:left="1080" w:hanging="360"/>
      </w:pPr>
      <w:r>
        <w:t>5.</w:t>
      </w:r>
      <w:r>
        <w:tab/>
        <w:t>Professional, Public Health Re</w:t>
      </w:r>
      <w:r>
        <w:t>ports, Official Journal of the Office of the U.S. Surgeon General and the U.S. Public Health Service, Reviewer/referee. (September 2021 - October 2021).</w:t>
      </w:r>
    </w:p>
    <w:p w14:paraId="7A40D829" w14:textId="77777777" w:rsidR="00000000" w:rsidRDefault="00B9540E"/>
    <w:p w14:paraId="24B18D24" w14:textId="77777777" w:rsidR="00000000" w:rsidRDefault="00B9540E">
      <w:pPr>
        <w:ind w:left="1080" w:hanging="360"/>
      </w:pPr>
      <w:r>
        <w:t>6.</w:t>
      </w:r>
      <w:r>
        <w:tab/>
        <w:t>Professional, Economics and Human Biology, Reviewer/referee. (March 2021 - July 2021).</w:t>
      </w:r>
    </w:p>
    <w:p w14:paraId="4A805573" w14:textId="77777777" w:rsidR="00000000" w:rsidRDefault="00B9540E"/>
    <w:p w14:paraId="385AFF89" w14:textId="77777777" w:rsidR="00000000" w:rsidRDefault="00B9540E">
      <w:pPr>
        <w:ind w:left="1080" w:hanging="360"/>
      </w:pPr>
      <w:r>
        <w:t>7.</w:t>
      </w:r>
      <w:r>
        <w:tab/>
        <w:t>Professi</w:t>
      </w:r>
      <w:r>
        <w:t>onal, Economic Inquiry, Reviewer/referee. (February 2021).</w:t>
      </w:r>
    </w:p>
    <w:p w14:paraId="1609EDAF" w14:textId="77777777" w:rsidR="00000000" w:rsidRDefault="00B9540E"/>
    <w:p w14:paraId="15F00DEC" w14:textId="77777777" w:rsidR="00000000" w:rsidRDefault="00B9540E">
      <w:pPr>
        <w:ind w:left="1080" w:hanging="360"/>
      </w:pPr>
      <w:r>
        <w:t>8.</w:t>
      </w:r>
      <w:r>
        <w:tab/>
        <w:t>Professional, Journal of Policy Analysis and Management, Reviewer/referee. (August 2020 - October 2020).</w:t>
      </w:r>
    </w:p>
    <w:p w14:paraId="3552C4D1" w14:textId="77777777" w:rsidR="00000000" w:rsidRDefault="00B9540E"/>
    <w:p w14:paraId="4355549A" w14:textId="77777777" w:rsidR="00000000" w:rsidRDefault="00B9540E">
      <w:pPr>
        <w:ind w:left="1080" w:hanging="360"/>
      </w:pPr>
      <w:r>
        <w:t>9.</w:t>
      </w:r>
      <w:r>
        <w:tab/>
        <w:t>Professional, Journal of Health Economics, Reviewer/referee. (January 2018 - July 20</w:t>
      </w:r>
      <w:r>
        <w:t>20).</w:t>
      </w:r>
    </w:p>
    <w:p w14:paraId="3B9B6725" w14:textId="77777777" w:rsidR="00000000" w:rsidRDefault="00B9540E"/>
    <w:p w14:paraId="53D0D00E" w14:textId="77777777" w:rsidR="00000000" w:rsidRDefault="00B9540E">
      <w:pPr>
        <w:ind w:left="1080" w:hanging="360"/>
      </w:pPr>
      <w:r>
        <w:t>10.</w:t>
      </w:r>
      <w:r>
        <w:tab/>
        <w:t>Professional, Economics and Human Biology, Reviewer/referee. (June 2020 - July 2020).</w:t>
      </w:r>
    </w:p>
    <w:p w14:paraId="0CCA8C38" w14:textId="77777777" w:rsidR="00000000" w:rsidRDefault="00B9540E"/>
    <w:p w14:paraId="5171FFBB" w14:textId="77777777" w:rsidR="00000000" w:rsidRDefault="00B9540E">
      <w:pPr>
        <w:ind w:left="1080" w:hanging="360"/>
      </w:pPr>
      <w:r>
        <w:t>11.</w:t>
      </w:r>
      <w:r>
        <w:tab/>
        <w:t>Professional, Health Affairs, Reviewer/referee. (June 2020 - July 2020).</w:t>
      </w:r>
    </w:p>
    <w:p w14:paraId="1D6C9C67" w14:textId="77777777" w:rsidR="00000000" w:rsidRDefault="00B9540E"/>
    <w:p w14:paraId="6AB8CB5F" w14:textId="77777777" w:rsidR="00000000" w:rsidRDefault="00B9540E">
      <w:pPr>
        <w:ind w:left="1080" w:hanging="360"/>
      </w:pPr>
    </w:p>
    <w:p w14:paraId="4E5EDEF1" w14:textId="77777777" w:rsidR="00000000" w:rsidRDefault="00B9540E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289B9ED1" w14:textId="77777777" w:rsidR="00000000" w:rsidRDefault="00B9540E">
      <w:pPr>
        <w:ind w:left="1080" w:hanging="360"/>
      </w:pPr>
    </w:p>
    <w:p w14:paraId="7528748A" w14:textId="77777777" w:rsidR="00000000" w:rsidRDefault="00B9540E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7C6FC825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C0BD050" w14:textId="77777777" w:rsidR="00000000" w:rsidRDefault="00B9540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5C436268" w14:textId="77777777" w:rsidR="00000000" w:rsidRDefault="00B9540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2023055A" w14:textId="77777777" w:rsidR="00000000" w:rsidRDefault="00B9540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7A9111CD" w14:textId="77777777" w:rsidR="00000000" w:rsidRDefault="00B9540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2A64E9F3" w14:textId="77777777" w:rsidR="00000000" w:rsidRDefault="00B9540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465696F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75E2E79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2329BBB0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13121FB7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9575B9D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7626F59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368CBCC1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2E9DE85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610A398E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04EE0FE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D1A4A09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4972C57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48D3FE5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03205F7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2A1BA402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16F9AF3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19814ED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26787DD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65C184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7D22C83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25025CFB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66B5D648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8EA84D6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7F6E92D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0000" w14:paraId="5F8BB58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61B0BDE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46A31B77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A617992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881D1F9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76101B7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0C41869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DBFD330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1315956F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E127141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48FB1B6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7A190EB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007E796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8D585E8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427EE574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9357A9F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3ADD352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E90B50D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39B3DE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F0461C7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3627BE5A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14:paraId="2DBE445F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751BF2F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62063A4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6410CB15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5A2B105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6D6DC815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7A1C178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387EB8B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3" w:type="dxa"/>
          </w:tcPr>
          <w:p w14:paraId="1063E9E6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56989F0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34BDD1C" w14:textId="77777777" w:rsidR="00000000" w:rsidRDefault="00B95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Consulting</w:t>
            </w:r>
          </w:p>
        </w:tc>
        <w:tc>
          <w:tcPr>
            <w:tcW w:w="1944" w:type="dxa"/>
          </w:tcPr>
          <w:p w14:paraId="406E7E5F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9F2DE72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54CB6BF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B0B967B" w14:textId="77777777" w:rsidR="00000000" w:rsidRDefault="00B954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3819F882" w14:textId="77777777" w:rsidR="00000000" w:rsidRDefault="00B9540E"/>
    <w:p w14:paraId="575F5DB4" w14:textId="77777777" w:rsidR="00000000" w:rsidRDefault="00B9540E"/>
    <w:p w14:paraId="009AB15D" w14:textId="77777777" w:rsidR="00B9540E" w:rsidRDefault="00B9540E"/>
    <w:sectPr w:rsidR="00B9540E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E1"/>
    <w:rsid w:val="00423AE1"/>
    <w:rsid w:val="00B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66B5E"/>
  <w14:defaultImageDpi w14:val="0"/>
  <w15:docId w15:val="{1D8BF787-ED66-412E-B539-1757D815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2024-09-10T19:26:00Z</dcterms:created>
  <dcterms:modified xsi:type="dcterms:W3CDTF">2024-09-10T19:26:00Z</dcterms:modified>
</cp:coreProperties>
</file>